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Allegato al Decreto del Presidente della Regione n.16</w:t>
      </w:r>
      <w:bookmarkStart w:id="0" w:name="_GoBack"/>
      <w:bookmarkEnd w:id="0"/>
      <w:r>
        <w:rPr>
          <w:b/>
          <w:bCs/>
          <w:sz w:val="32"/>
          <w:szCs w:val="32"/>
        </w:rPr>
        <w:t xml:space="preserve"> del 24 Febbraio 2020. </w:t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Chiarimenti applicativi in merito all’Ordinanza contingibile e urgente n. 1 del Ministero della Salute, d’intesa con il presidente della Regione Emilia-Romagna, recante “Misure urgenti in materia di contenimento e gestione dell’emergenza epidemiologica da Covid- 2019”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lettera A dell’art. 1 comma 2 intende sospendere manifestazioni che determinino significative concentrazioni di persone in luoghi pubblici e privati.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questo senso sono da ritenere sospese tutte quelle manifestazioni e iniziative che, comportando l’afflusso di pubblico, esulano dall’ordinaria attività delle comunità locali; si fa riferimento ad eventi e manifestazioni di natura sportiva, culturale, sociale, economica e civica, laddove esulino dall’ordinario esercizio delle attività stesse. Vanno pertanto incluse tra le attività da sospendere manifestazioni, fiere e sagre, attrazioni e lunapark, concerti, eventi sportivi che prevedano la presenza di pubblico (campionati, tornei e competizioni di ogni categoria e di ogni disciplina) e attività di spettacolo quali rappresentazioni teatrali, cinematografiche, musicali, ecc., ivi comprese le discoteche e le sale da ballo.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via generale non sono invece ricomprese in tali attività quelle che attengono all’ordinario svolgimento della pratica corsistica e amatoriale (corsi di varia natura e allenamenti sportivi). Si precisa che potranno dunque rimanere aperti i luoghi di svolgimento dell’attività corsistica ordinaria di vario tipo (es. centri linguistici, centri musicali e scuola guida), gli impianti sportivi (centri sportivi, palestre pubbliche e private, piscine pubbliche e private, campi da gioco, ecc.), e in generale tutte le strutture quando le attività non prevedano aggregazione di pubblico (“porte chiuse”) o eccezionali concentrazioni di persone.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Sono escluse da tale sospensione anche tutte le attività economiche, agricole, produttive, commerciali, di servizio e ricettive, ivi compresi i pubblici esercizi e le mense, ad eccezione di quelle richiamate di pubblico spettacolo e degli eventi e manifestazioni promozionali (fiere, mercati straordinari, meeting e convegni, sfilate, ecc.) che pertanto saranno sospesi.  Sono escluse dalla sospensione le attività corsistiche aziendali, laddove non comportino significative concentrazioni di persone. Sono altresì escluse dalla sospensione le attività svolte da guide e accompagnatori turistici.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via generale non sono sospesi gli ordinari mercati settimanali.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Una particolare attenzione va prestata alle attività di preminente carattere sociale. Non possono essere pertanto ricomprese nella sospensione, in via generale, attività di sostegno e supporto alle persone anziane e diversamente abili (es: servizi semiresidenziali e Centri diurni).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Non si intendono sospese le celebrazioni di matrimoni ed esequie civili e religiose, anche in linea con le disposizioni adottate dalle diocesi della regione.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Non possono essere inclusi nella sospensione, in via generale, neppure i Centri di aggregazione sociale (circoli ricreativi, centri sociali, centri giovani, centri anziani, orti urbani, ecc.) per la parte di ordinaria attività.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La lettera B dell’art.1 comma 2, tra l’altro, prevede la chiusura dei corsi professionali. Risulta in tal senso sospesa l’erogazione delle attività di formazione rivolte ad un gruppo classe, mentre i servizi per il lavoro erogati in forma individuale (quali colloqui di orientamento) potranno svolgersi regolarmente.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Resta facoltà delle autorità territorialmente competenti disporre ulteriori e specifiche prescrizioni, laddove necessarie in ragione di particolari esigenze delle comunità locali.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2f4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E198719940A94E874AACC34C8E094B" ma:contentTypeVersion="9" ma:contentTypeDescription="Creare un nuovo documento." ma:contentTypeScope="" ma:versionID="b089d897276ba1075ec5d29c97927130">
  <xsd:schema xmlns:xsd="http://www.w3.org/2001/XMLSchema" xmlns:xs="http://www.w3.org/2001/XMLSchema" xmlns:p="http://schemas.microsoft.com/office/2006/metadata/properties" xmlns:ns3="039810d8-d7b2-481e-a013-b772ebb5bee7" xmlns:ns4="48f68990-92c6-4788-a75c-985e55388a7a" targetNamespace="http://schemas.microsoft.com/office/2006/metadata/properties" ma:root="true" ma:fieldsID="3d50f62b9e0e2aa81e0b72a3fb4a8579" ns3:_="" ns4:_="">
    <xsd:import namespace="039810d8-d7b2-481e-a013-b772ebb5bee7"/>
    <xsd:import namespace="48f68990-92c6-4788-a75c-985e55388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10d8-d7b2-481e-a013-b772ebb5b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68990-92c6-4788-a75c-985e55388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8BC13-FB87-41F1-920D-B37C9DD37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880A7D-0A8A-4C63-90C3-030A4E558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10d8-d7b2-481e-a013-b772ebb5bee7"/>
    <ds:schemaRef ds:uri="48f68990-92c6-4788-a75c-985e55388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5B95E-E84A-4E43-97E2-C9B5029E7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LibreOffice/6.1.1.2$Windows_X86_64 LibreOffice_project/5d19a1bfa650b796764388cd8b33a5af1f5baa1b</Application>
  <Pages>2</Pages>
  <Words>507</Words>
  <Characters>3194</Characters>
  <CharactersWithSpaces>3697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2020-02-24T16:53:00Z</dcterms:created>
  <dc:creator>Contini Elena</dc:creator>
  <dc:description/>
  <dc:language>it-IT</dc:language>
  <cp:lastModifiedBy>Bianchedi Roberta</cp:lastModifiedBy>
  <cp:lastPrinted>2020-02-24T11:41:00Z</cp:lastPrinted>
  <dcterms:modified xsi:type="dcterms:W3CDTF">2020-02-24T16:53:00Z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0x0101008DE198719940A94E874AACC34C8E094B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